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4" w:rsidRPr="008D489D" w:rsidRDefault="0079355A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bookmarkStart w:id="0" w:name="_GoBack"/>
      <w:r w:rsidRPr="008D489D">
        <w:rPr>
          <w:rFonts w:ascii="Noor_Badr" w:hAnsi="Noor_Badr" w:cs="Noor_Badr"/>
          <w:sz w:val="32"/>
          <w:szCs w:val="32"/>
          <w:rtl/>
          <w:lang w:bidi="fa-IR"/>
        </w:rPr>
        <w:t>خارج اصول</w:t>
      </w:r>
    </w:p>
    <w:p w:rsidR="0079355A" w:rsidRPr="008D489D" w:rsidRDefault="00B605F8" w:rsidP="008D489D">
      <w:pPr>
        <w:pBdr>
          <w:bottom w:val="single" w:sz="12" w:space="1" w:color="auto"/>
        </w:pBd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جلسه 70</w:t>
      </w:r>
      <w:r w:rsidR="0079355A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                                 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   </w:t>
      </w:r>
      <w:r w:rsidR="0079355A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               شنبه 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>6</w:t>
      </w:r>
      <w:r w:rsidR="0079355A" w:rsidRPr="008D489D">
        <w:rPr>
          <w:rFonts w:ascii="Noor_Badr" w:hAnsi="Noor_Badr" w:cs="Noor_Badr"/>
          <w:sz w:val="32"/>
          <w:szCs w:val="32"/>
          <w:rtl/>
          <w:lang w:bidi="fa-IR"/>
        </w:rPr>
        <w:t>/ 11/ 97</w:t>
      </w:r>
    </w:p>
    <w:p w:rsidR="0079355A" w:rsidRPr="008D489D" w:rsidRDefault="0079355A" w:rsidP="008D489D">
      <w:pPr>
        <w:bidi/>
        <w:jc w:val="both"/>
        <w:rPr>
          <w:rFonts w:ascii="Noor_Badr" w:hAnsi="Noor_Badr" w:cs="Noor_Badr"/>
          <w:b/>
          <w:bCs/>
          <w:color w:val="FF0000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b/>
          <w:bCs/>
          <w:color w:val="FF0000"/>
          <w:sz w:val="32"/>
          <w:szCs w:val="32"/>
          <w:rtl/>
          <w:lang w:bidi="fa-IR"/>
        </w:rPr>
        <w:t>حدیث</w:t>
      </w:r>
    </w:p>
    <w:p w:rsidR="00257BD8" w:rsidRPr="008D489D" w:rsidRDefault="008C6D1A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و لا ورع كالكف عن المحارم</w:t>
      </w:r>
      <w:r w:rsidRPr="008D489D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1"/>
      </w:r>
      <w:r w:rsidR="00257BD8" w:rsidRPr="008D489D">
        <w:rPr>
          <w:rFonts w:ascii="Noor_Badr" w:hAnsi="Noor_Badr" w:cs="Noor_Badr"/>
          <w:sz w:val="32"/>
          <w:szCs w:val="32"/>
          <w:rtl/>
          <w:lang w:bidi="fa-IR"/>
        </w:rPr>
        <w:t>.</w:t>
      </w:r>
    </w:p>
    <w:p w:rsidR="0094446B" w:rsidRPr="008D489D" w:rsidRDefault="00F54FE5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*******</w:t>
      </w:r>
    </w:p>
    <w:p w:rsidR="00F54FE5" w:rsidRPr="008D489D" w:rsidRDefault="00F54FE5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ادامه ی فرمایش صاحب کفایه</w:t>
      </w:r>
    </w:p>
    <w:p w:rsidR="00F54FE5" w:rsidRPr="008D489D" w:rsidRDefault="00F54FE5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هذا بخلاف ما إذا علم أنّه مأمور به واقعا و شكّ في أنّه يجزئ عمّا هو المأمور به الواقعيّ الأوّليّ- كما في الأوامر الاضطراريّة أو الظاهريّة، بناء على أن تكون الحجّيّة على نحو السببيّة-، فقضيّة الأصل فيها- كما أشرنا إليه- عدم وجوب الإعادة، للإتيان بما اشتغلت به الذمّة يقينا، و أصالة عدم فعليّة التكليف الواقعيّ بعد رفع الاضطرار و كشف الخلاف.</w:t>
      </w:r>
      <w:r w:rsidRPr="008D489D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2"/>
      </w:r>
    </w:p>
    <w:p w:rsidR="00197837" w:rsidRPr="008D489D" w:rsidRDefault="00197837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خلاصه ی مطلب: صاحب کفایه قائل به إجزاء در وقت است اگر حجیت اماره از باب سببیت باشد یا حکم اضطراری که بعنوان حکم واقعی ثانوی لحاظ می شود زیرا مکلف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ماموربه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مورد نیاز را انجام داده و بعداز رفع اضطرار و کشف خلاف، در فعلیت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حکم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واقعی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اولی شک می کند 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و این،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شک در اصل تکلیف و مجرای برائت است؛</w:t>
      </w:r>
    </w:p>
    <w:p w:rsidR="00197837" w:rsidRPr="008D489D" w:rsidRDefault="009550FB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lastRenderedPageBreak/>
        <w:t>در مجموع کل بحث،</w:t>
      </w:r>
      <w:r w:rsidR="00197837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سخن ایشان دو مقام دارد: اعاده و قضا. در اعاده قائل به اشتغال و در قضا قائل به برائت شد(این دو مقام در جایی است که حجیت اماره مردد بین سببیت و طریقیت است).</w:t>
      </w:r>
    </w:p>
    <w:p w:rsidR="009550FB" w:rsidRPr="008D489D" w:rsidRDefault="00EB6EB5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کلام </w:t>
      </w:r>
      <w:r w:rsidR="000F77ED" w:rsidRPr="008D489D">
        <w:rPr>
          <w:rFonts w:ascii="Noor_Badr" w:hAnsi="Noor_Badr" w:cs="Noor_Badr"/>
          <w:sz w:val="32"/>
          <w:szCs w:val="32"/>
          <w:rtl/>
          <w:lang w:bidi="fa-IR"/>
        </w:rPr>
        <w:t>محقق خوئی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در نقد صاحب کفایه</w:t>
      </w:r>
      <w:r w:rsidR="002E207A" w:rsidRPr="008D489D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3"/>
      </w:r>
    </w:p>
    <w:p w:rsidR="00E35030" w:rsidRPr="008D489D" w:rsidRDefault="00F718EF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أمّا ما أفاده بالنسبة إلى عدم وجوب القضاء فمتين جداً ولا مناص عنه.</w:t>
      </w:r>
    </w:p>
    <w:p w:rsidR="00E35030" w:rsidRPr="008D489D" w:rsidRDefault="00E35030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مقصود محقق خوئی این عبارت کفایه است:</w:t>
      </w:r>
    </w:p>
    <w:p w:rsidR="00E35030" w:rsidRPr="008D489D" w:rsidRDefault="00E35030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و أمّا القضاء فلا يجب، بناء على أنّه فرض جديد، و كان الفوت المعلّق عليه وجوبه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لا يثبت بأصالة عدم الإتيان إلّا على القول بالأصل المثبت، و إلّا فهو واجب، كما لا يخفى على المتأمّل، فتأمّل جيّدا.</w:t>
      </w:r>
      <w:r w:rsidRPr="008D489D">
        <w:rPr>
          <w:rStyle w:val="FootnoteReference"/>
          <w:rFonts w:ascii="Noor_Badr" w:hAnsi="Noor_Badr" w:cs="Noor_Badr"/>
          <w:sz w:val="32"/>
          <w:szCs w:val="32"/>
          <w:rtl/>
          <w:lang w:bidi="fa-IR"/>
        </w:rPr>
        <w:footnoteReference w:id="4"/>
      </w:r>
    </w:p>
    <w:p w:rsidR="00166300" w:rsidRPr="008D489D" w:rsidRDefault="00166300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توضیح این عبارت کفایه: اگر ملتزم شویم به اینکه قضا به امر جدید است (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یعنی "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>إقض مافات کمافات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"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>) نه تابع اداء (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یعنی 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>امر اول</w:t>
      </w:r>
      <w:r w:rsidR="00FD0F13" w:rsidRPr="008D489D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دلالت بر قضا داشته باشد)، در اینصورت قضا واجب نیست لذا اگر عمل کنیم به اماره ی مردد بین طریقیت و سببیت و بعداز وقت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کشف خلاف شود، مجزی است و قضا واجب نیست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؛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زیرا موضوع قضا، فوت است که بوسیله ی استصحاب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اتیان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ماموربه اثبات نمی شود زیرا استصحاب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اتیان، فقط عدم</w:t>
      </w:r>
      <w:r w:rsidR="000F4647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اتیان را که امری عدمی است، اثبات می کند نه فوت را که امری وجودی است</w:t>
      </w:r>
      <w:r w:rsidR="008E5438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مگر</w:t>
      </w:r>
      <w:r w:rsidR="00220F3F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اینکه</w:t>
      </w:r>
      <w:r w:rsidR="008E5438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قائل شویم به حجیت اصل مثبت که مشهور و آخوند قائل نیستند. آری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>!</w:t>
      </w:r>
      <w:r w:rsidR="008E5438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اگر 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>فوت، امری عدمی باشد، استصحاب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عدم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>ِ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اتیان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>،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موجب وجوب قضا می شود زیرا این استصحاب، 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>(اصل مثبت نیست)، امر عدمی را اثبات می کند،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 و چون عدم اتیان</w:t>
      </w:r>
      <w:r w:rsidR="00B4351D" w:rsidRPr="008D489D">
        <w:rPr>
          <w:rFonts w:ascii="Noor_Badr" w:hAnsi="Noor_Badr" w:cs="Noor_Badr"/>
          <w:sz w:val="32"/>
          <w:szCs w:val="32"/>
          <w:rtl/>
          <w:lang w:bidi="fa-IR"/>
        </w:rPr>
        <w:t xml:space="preserve">( که همان فوت است)، </w:t>
      </w:r>
      <w:r w:rsidR="00476DB5" w:rsidRPr="008D489D">
        <w:rPr>
          <w:rFonts w:ascii="Noor_Badr" w:hAnsi="Noor_Badr" w:cs="Noor_Badr"/>
          <w:sz w:val="32"/>
          <w:szCs w:val="32"/>
          <w:rtl/>
          <w:lang w:bidi="fa-IR"/>
        </w:rPr>
        <w:t>اثبات شد، دلیلِ "اقض مافات کمافات" وجوب قضا را اثبات کرده و نتیجه اش عدم إجزاست.</w:t>
      </w:r>
    </w:p>
    <w:p w:rsidR="00E35030" w:rsidRPr="008D489D" w:rsidRDefault="00B450F4" w:rsidP="008D489D">
      <w:pPr>
        <w:bidi/>
        <w:jc w:val="both"/>
        <w:rPr>
          <w:rFonts w:ascii="Noor_Badr" w:hAnsi="Noor_Badr" w:cs="Noor_Badr"/>
          <w:sz w:val="32"/>
          <w:szCs w:val="32"/>
          <w:rtl/>
          <w:lang w:bidi="fa-IR"/>
        </w:rPr>
      </w:pPr>
      <w:r w:rsidRPr="008D489D">
        <w:rPr>
          <w:rFonts w:ascii="Noor_Badr" w:hAnsi="Noor_Badr" w:cs="Noor_Badr"/>
          <w:sz w:val="32"/>
          <w:szCs w:val="32"/>
          <w:rtl/>
          <w:lang w:bidi="fa-IR"/>
        </w:rPr>
        <w:t>(پایان)</w:t>
      </w:r>
      <w:bookmarkEnd w:id="0"/>
    </w:p>
    <w:sectPr w:rsidR="00E35030" w:rsidRPr="008D489D" w:rsidSect="00070C92">
      <w:pgSz w:w="12240" w:h="15840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A9C" w:rsidRDefault="008E0A9C" w:rsidP="008C6D1A">
      <w:pPr>
        <w:spacing w:after="0" w:line="240" w:lineRule="auto"/>
      </w:pPr>
      <w:r>
        <w:separator/>
      </w:r>
    </w:p>
  </w:endnote>
  <w:endnote w:type="continuationSeparator" w:id="0">
    <w:p w:rsidR="008E0A9C" w:rsidRDefault="008E0A9C" w:rsidP="008C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oor_Bad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A9C" w:rsidRDefault="008E0A9C" w:rsidP="008C6D1A">
      <w:pPr>
        <w:spacing w:after="0" w:line="240" w:lineRule="auto"/>
      </w:pPr>
      <w:r>
        <w:separator/>
      </w:r>
    </w:p>
  </w:footnote>
  <w:footnote w:type="continuationSeparator" w:id="0">
    <w:p w:rsidR="008E0A9C" w:rsidRDefault="008E0A9C" w:rsidP="008C6D1A">
      <w:pPr>
        <w:spacing w:after="0" w:line="240" w:lineRule="auto"/>
      </w:pPr>
      <w:r>
        <w:continuationSeparator/>
      </w:r>
    </w:p>
  </w:footnote>
  <w:footnote w:id="1">
    <w:p w:rsidR="008C6D1A" w:rsidRPr="005E0D9E" w:rsidRDefault="008C6D1A" w:rsidP="008C6D1A">
      <w:pPr>
        <w:pStyle w:val="FootnoteText"/>
        <w:bidi/>
        <w:jc w:val="both"/>
        <w:rPr>
          <w:sz w:val="24"/>
          <w:szCs w:val="24"/>
          <w:rtl/>
          <w:lang w:bidi="fa-IR"/>
        </w:rPr>
      </w:pPr>
      <w:r w:rsidRPr="005E0D9E">
        <w:rPr>
          <w:rStyle w:val="FootnoteReference"/>
          <w:sz w:val="24"/>
          <w:szCs w:val="24"/>
        </w:rPr>
        <w:footnoteRef/>
      </w:r>
      <w:r w:rsidR="00F54FE5" w:rsidRPr="005E0D9E">
        <w:rPr>
          <w:rFonts w:cs="Arial" w:hint="cs"/>
          <w:sz w:val="24"/>
          <w:szCs w:val="24"/>
          <w:rtl/>
        </w:rPr>
        <w:t>.</w:t>
      </w:r>
      <w:r w:rsidRPr="005E0D9E">
        <w:rPr>
          <w:rFonts w:cs="Arial" w:hint="cs"/>
          <w:sz w:val="24"/>
          <w:szCs w:val="24"/>
          <w:rtl/>
        </w:rPr>
        <w:t>خطبة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لأمير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المؤمنين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ع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و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هي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خطبة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الوسيلة</w:t>
      </w:r>
      <w:r w:rsidRPr="005E0D9E">
        <w:rPr>
          <w:rFonts w:cs="Arial"/>
          <w:sz w:val="24"/>
          <w:szCs w:val="24"/>
          <w:rtl/>
        </w:rPr>
        <w:t>.</w:t>
      </w:r>
      <w:r w:rsidRPr="005E0D9E">
        <w:rPr>
          <w:rFonts w:cs="Arial" w:hint="cs"/>
          <w:sz w:val="24"/>
          <w:szCs w:val="24"/>
          <w:rtl/>
        </w:rPr>
        <w:t>الكافي</w:t>
      </w:r>
      <w:r w:rsidRPr="005E0D9E">
        <w:rPr>
          <w:rFonts w:cs="Arial"/>
          <w:sz w:val="24"/>
          <w:szCs w:val="24"/>
          <w:rtl/>
        </w:rPr>
        <w:t xml:space="preserve"> (</w:t>
      </w:r>
      <w:r w:rsidRPr="005E0D9E">
        <w:rPr>
          <w:rFonts w:cs="Arial" w:hint="cs"/>
          <w:sz w:val="24"/>
          <w:szCs w:val="24"/>
          <w:rtl/>
        </w:rPr>
        <w:t>ط</w:t>
      </w:r>
      <w:r w:rsidRPr="005E0D9E">
        <w:rPr>
          <w:rFonts w:cs="Arial"/>
          <w:sz w:val="24"/>
          <w:szCs w:val="24"/>
          <w:rtl/>
        </w:rPr>
        <w:t xml:space="preserve"> - </w:t>
      </w:r>
      <w:r w:rsidRPr="005E0D9E">
        <w:rPr>
          <w:rFonts w:cs="Arial" w:hint="cs"/>
          <w:sz w:val="24"/>
          <w:szCs w:val="24"/>
          <w:rtl/>
        </w:rPr>
        <w:t>الإسلامية</w:t>
      </w:r>
      <w:r w:rsidRPr="005E0D9E">
        <w:rPr>
          <w:rFonts w:cs="Arial"/>
          <w:sz w:val="24"/>
          <w:szCs w:val="24"/>
          <w:rtl/>
        </w:rPr>
        <w:t>)</w:t>
      </w:r>
      <w:r w:rsidRPr="005E0D9E">
        <w:rPr>
          <w:rFonts w:cs="Arial" w:hint="cs"/>
          <w:sz w:val="24"/>
          <w:szCs w:val="24"/>
          <w:rtl/>
        </w:rPr>
        <w:t>،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ج‏</w:t>
      </w:r>
      <w:r w:rsidRPr="005E0D9E">
        <w:rPr>
          <w:rFonts w:cs="Arial"/>
          <w:sz w:val="24"/>
          <w:szCs w:val="24"/>
          <w:rtl/>
        </w:rPr>
        <w:t>8</w:t>
      </w:r>
      <w:r w:rsidRPr="005E0D9E">
        <w:rPr>
          <w:rFonts w:cs="Arial" w:hint="cs"/>
          <w:sz w:val="24"/>
          <w:szCs w:val="24"/>
          <w:rtl/>
        </w:rPr>
        <w:t>،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ص</w:t>
      </w:r>
      <w:r w:rsidRPr="005E0D9E">
        <w:rPr>
          <w:rFonts w:cs="Arial"/>
          <w:sz w:val="24"/>
          <w:szCs w:val="24"/>
          <w:rtl/>
        </w:rPr>
        <w:t>: 18</w:t>
      </w:r>
      <w:r w:rsidRPr="005E0D9E">
        <w:rPr>
          <w:sz w:val="24"/>
          <w:szCs w:val="24"/>
        </w:rPr>
        <w:t xml:space="preserve">  </w:t>
      </w:r>
    </w:p>
  </w:footnote>
  <w:footnote w:id="2">
    <w:p w:rsidR="00F54FE5" w:rsidRPr="005E0D9E" w:rsidRDefault="00F54FE5" w:rsidP="00F54FE5">
      <w:pPr>
        <w:pStyle w:val="FootnoteText"/>
        <w:bidi/>
        <w:jc w:val="both"/>
        <w:rPr>
          <w:sz w:val="24"/>
          <w:szCs w:val="24"/>
          <w:rtl/>
          <w:lang w:bidi="fa-IR"/>
        </w:rPr>
      </w:pPr>
      <w:r w:rsidRPr="005E0D9E">
        <w:rPr>
          <w:rStyle w:val="FootnoteReference"/>
          <w:sz w:val="24"/>
          <w:szCs w:val="24"/>
        </w:rPr>
        <w:footnoteRef/>
      </w:r>
      <w:r w:rsidRPr="005E0D9E">
        <w:rPr>
          <w:rFonts w:cs="Arial" w:hint="cs"/>
          <w:sz w:val="24"/>
          <w:szCs w:val="24"/>
          <w:rtl/>
        </w:rPr>
        <w:t>.كفاية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الأصول</w:t>
      </w:r>
      <w:r w:rsidRPr="005E0D9E">
        <w:rPr>
          <w:rFonts w:cs="Arial"/>
          <w:sz w:val="24"/>
          <w:szCs w:val="24"/>
          <w:rtl/>
        </w:rPr>
        <w:t xml:space="preserve"> ( </w:t>
      </w:r>
      <w:r w:rsidRPr="005E0D9E">
        <w:rPr>
          <w:rFonts w:cs="Arial" w:hint="cs"/>
          <w:sz w:val="24"/>
          <w:szCs w:val="24"/>
          <w:rtl/>
        </w:rPr>
        <w:t>با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تعليقه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زارعى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سبزوارى</w:t>
      </w:r>
      <w:r w:rsidRPr="005E0D9E">
        <w:rPr>
          <w:rFonts w:cs="Arial"/>
          <w:sz w:val="24"/>
          <w:szCs w:val="24"/>
          <w:rtl/>
        </w:rPr>
        <w:t xml:space="preserve"> )</w:t>
      </w:r>
      <w:r w:rsidRPr="005E0D9E">
        <w:rPr>
          <w:rFonts w:cs="Arial" w:hint="cs"/>
          <w:sz w:val="24"/>
          <w:szCs w:val="24"/>
          <w:rtl/>
        </w:rPr>
        <w:t>،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ج‏</w:t>
      </w:r>
      <w:r w:rsidRPr="005E0D9E">
        <w:rPr>
          <w:rFonts w:cs="Arial"/>
          <w:sz w:val="24"/>
          <w:szCs w:val="24"/>
          <w:rtl/>
        </w:rPr>
        <w:t>1</w:t>
      </w:r>
      <w:r w:rsidRPr="005E0D9E">
        <w:rPr>
          <w:rFonts w:cs="Arial" w:hint="cs"/>
          <w:sz w:val="24"/>
          <w:szCs w:val="24"/>
          <w:rtl/>
        </w:rPr>
        <w:t>،</w:t>
      </w:r>
      <w:r w:rsidRPr="005E0D9E">
        <w:rPr>
          <w:rFonts w:cs="Arial"/>
          <w:sz w:val="24"/>
          <w:szCs w:val="24"/>
          <w:rtl/>
        </w:rPr>
        <w:t xml:space="preserve"> </w:t>
      </w:r>
      <w:r w:rsidRPr="005E0D9E">
        <w:rPr>
          <w:rFonts w:cs="Arial" w:hint="cs"/>
          <w:sz w:val="24"/>
          <w:szCs w:val="24"/>
          <w:rtl/>
        </w:rPr>
        <w:t>ص</w:t>
      </w:r>
      <w:r w:rsidRPr="005E0D9E">
        <w:rPr>
          <w:rFonts w:cs="Arial"/>
          <w:sz w:val="24"/>
          <w:szCs w:val="24"/>
          <w:rtl/>
        </w:rPr>
        <w:t>: 169</w:t>
      </w:r>
    </w:p>
  </w:footnote>
  <w:footnote w:id="3">
    <w:p w:rsidR="002E207A" w:rsidRPr="00272CFE" w:rsidRDefault="002E207A" w:rsidP="002E207A">
      <w:pPr>
        <w:pStyle w:val="FootnoteText"/>
        <w:bidi/>
        <w:jc w:val="both"/>
        <w:rPr>
          <w:rFonts w:cs="B Badr"/>
          <w:sz w:val="24"/>
          <w:szCs w:val="24"/>
          <w:rtl/>
        </w:rPr>
      </w:pPr>
      <w:r w:rsidRPr="00272CFE">
        <w:rPr>
          <w:rStyle w:val="FootnoteReference"/>
          <w:rFonts w:cs="B Badr"/>
          <w:sz w:val="24"/>
          <w:szCs w:val="24"/>
        </w:rPr>
        <w:footnoteRef/>
      </w:r>
      <w:r w:rsidRPr="00272CFE">
        <w:rPr>
          <w:rFonts w:cs="B Badr"/>
          <w:sz w:val="24"/>
          <w:szCs w:val="24"/>
        </w:rPr>
        <w:t xml:space="preserve"> </w:t>
      </w:r>
      <w:r w:rsidR="00272CFE">
        <w:rPr>
          <w:rFonts w:cs="B Badr" w:hint="cs"/>
          <w:sz w:val="24"/>
          <w:szCs w:val="24"/>
          <w:rtl/>
        </w:rPr>
        <w:t>.</w:t>
      </w:r>
      <w:r w:rsidRPr="00272CFE">
        <w:rPr>
          <w:rFonts w:cs="B Badr" w:hint="cs"/>
          <w:sz w:val="24"/>
          <w:szCs w:val="24"/>
          <w:rtl/>
          <w:lang w:bidi="fa-IR"/>
        </w:rPr>
        <w:t>محاضرات فى أصول الفقه ( طبع موسسة احياء آثار السيد الخوئي )، ج‏2، ص: 95.</w:t>
      </w:r>
    </w:p>
  </w:footnote>
  <w:footnote w:id="4">
    <w:p w:rsidR="00E35030" w:rsidRPr="00272CFE" w:rsidRDefault="00E35030" w:rsidP="00272CFE">
      <w:pPr>
        <w:pStyle w:val="FootnoteText"/>
        <w:tabs>
          <w:tab w:val="left" w:pos="4755"/>
        </w:tabs>
        <w:bidi/>
        <w:jc w:val="both"/>
        <w:rPr>
          <w:rFonts w:cs="B Badr"/>
          <w:sz w:val="24"/>
          <w:szCs w:val="24"/>
          <w:rtl/>
          <w:lang w:bidi="fa-IR"/>
        </w:rPr>
      </w:pPr>
      <w:r w:rsidRPr="00272CFE">
        <w:rPr>
          <w:rStyle w:val="FootnoteReference"/>
          <w:rFonts w:cs="B Badr"/>
          <w:sz w:val="24"/>
          <w:szCs w:val="24"/>
        </w:rPr>
        <w:footnoteRef/>
      </w:r>
      <w:r w:rsidR="00272CFE">
        <w:rPr>
          <w:rFonts w:cs="B Badr" w:hint="cs"/>
          <w:sz w:val="24"/>
          <w:szCs w:val="24"/>
          <w:rtl/>
          <w:lang w:bidi="fa-IR"/>
        </w:rPr>
        <w:t>.</w:t>
      </w:r>
      <w:r w:rsidRPr="00272CFE">
        <w:rPr>
          <w:rFonts w:cs="B Badr" w:hint="cs"/>
          <w:sz w:val="24"/>
          <w:szCs w:val="24"/>
          <w:rtl/>
          <w:lang w:bidi="fa-IR"/>
        </w:rPr>
        <w:t>كفاية الأصول ( با تعليقه زارعى سبزوارى )، ج‏1، ص: 169</w:t>
      </w:r>
      <w:r w:rsidR="00272CFE">
        <w:rPr>
          <w:rFonts w:cs="B Badr"/>
          <w:sz w:val="24"/>
          <w:szCs w:val="24"/>
          <w:rtl/>
          <w:lang w:bidi="fa-IR"/>
        </w:rPr>
        <w:tab/>
      </w:r>
    </w:p>
    <w:p w:rsidR="00E35030" w:rsidRDefault="00E35030">
      <w:pPr>
        <w:pStyle w:val="FootnoteText"/>
        <w:rPr>
          <w:rtl/>
          <w:lang w:bidi="fa-IR"/>
        </w:rPr>
      </w:pP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5A"/>
    <w:rsid w:val="00051817"/>
    <w:rsid w:val="00070C92"/>
    <w:rsid w:val="000A5FF8"/>
    <w:rsid w:val="000F4647"/>
    <w:rsid w:val="000F77ED"/>
    <w:rsid w:val="00166300"/>
    <w:rsid w:val="00197837"/>
    <w:rsid w:val="001E7CEB"/>
    <w:rsid w:val="00220F3F"/>
    <w:rsid w:val="00257BD8"/>
    <w:rsid w:val="00272CFE"/>
    <w:rsid w:val="002E207A"/>
    <w:rsid w:val="00476DB5"/>
    <w:rsid w:val="005E0D9E"/>
    <w:rsid w:val="00663BF4"/>
    <w:rsid w:val="006D798F"/>
    <w:rsid w:val="0079355A"/>
    <w:rsid w:val="007F5955"/>
    <w:rsid w:val="008066B5"/>
    <w:rsid w:val="008925B6"/>
    <w:rsid w:val="008C6D1A"/>
    <w:rsid w:val="008D489D"/>
    <w:rsid w:val="008E0A9C"/>
    <w:rsid w:val="008E5438"/>
    <w:rsid w:val="0094446B"/>
    <w:rsid w:val="009550FB"/>
    <w:rsid w:val="00B4351D"/>
    <w:rsid w:val="00B450F4"/>
    <w:rsid w:val="00B605F8"/>
    <w:rsid w:val="00E35030"/>
    <w:rsid w:val="00EB6EB5"/>
    <w:rsid w:val="00F54FE5"/>
    <w:rsid w:val="00F718EF"/>
    <w:rsid w:val="00FD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6D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6D1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6D1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E207A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8C6D1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C6D1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C6D1A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2E20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25</cp:revision>
  <dcterms:created xsi:type="dcterms:W3CDTF">2019-02-15T18:43:00Z</dcterms:created>
  <dcterms:modified xsi:type="dcterms:W3CDTF">2020-08-24T02:24:00Z</dcterms:modified>
</cp:coreProperties>
</file>